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A </w:t>
      </w:r>
      <w:r w:rsidRPr="00E943CF">
        <w:rPr>
          <w:rFonts w:ascii="Arial" w:eastAsia="Times New Roman" w:hAnsi="Arial" w:cs="Arial"/>
          <w:b/>
          <w:bCs/>
          <w:color w:val="000000"/>
          <w:spacing w:val="3"/>
          <w:sz w:val="27"/>
          <w:szCs w:val="27"/>
        </w:rPr>
        <w:t>focus group</w:t>
      </w:r>
      <w:r w:rsidRPr="00E943CF">
        <w:rPr>
          <w:rFonts w:ascii="Arial" w:eastAsia="Times New Roman" w:hAnsi="Arial" w:cs="Arial"/>
          <w:color w:val="000000"/>
          <w:spacing w:val="3"/>
          <w:sz w:val="27"/>
          <w:szCs w:val="27"/>
        </w:rPr>
        <w:t> is a small group (normally six to twelve) invited to actively participate in a structured discussion with a facilitator. Focus groups typically last from one to three hours, depending on the topic and the purpose. Focus groups serve a variety of purposes. They are often used to follow up on a survey, providing a more in-depth look at specific issues raised during the survey. In this respect, focus groups collect qualitative data that enriches quantitative survey results.</w:t>
      </w:r>
    </w:p>
    <w:p w:rsidR="00E943CF" w:rsidRPr="00E943CF" w:rsidRDefault="00E943CF" w:rsidP="00E943CF">
      <w:pPr>
        <w:spacing w:before="100" w:beforeAutospacing="1" w:after="100" w:afterAutospacing="1" w:line="360" w:lineRule="atLeast"/>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The following are some important considerations regarding focus groups:</w:t>
      </w:r>
    </w:p>
    <w:p w:rsidR="00E943CF" w:rsidRPr="00E943CF" w:rsidRDefault="00E943CF" w:rsidP="00E943CF">
      <w:pPr>
        <w:numPr>
          <w:ilvl w:val="0"/>
          <w:numId w:val="1"/>
        </w:numPr>
        <w:spacing w:before="100" w:beforeAutospacing="1" w:after="100" w:afterAutospacing="1" w:line="360" w:lineRule="atLeast"/>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A focus group is intended to provide a microcosm of the population being studied. Participants must, therefore, adequately represent that population to ensure representative information. Ideally, random selection should be used so that every employee has an equal chance of being selected and the diversity of the employee population is represented.</w:t>
      </w:r>
    </w:p>
    <w:p w:rsidR="00E943CF" w:rsidRPr="00E943CF" w:rsidRDefault="00E943CF" w:rsidP="00E943CF">
      <w:pPr>
        <w:numPr>
          <w:ilvl w:val="0"/>
          <w:numId w:val="1"/>
        </w:numPr>
        <w:spacing w:before="100" w:beforeAutospacing="1" w:after="100" w:afterAutospacing="1" w:line="360" w:lineRule="atLeast"/>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Along with random selection, voluntary participation is another important consideration. Voluntary participation can help to ensure that the focus group will be a productive session with employees who are willing to share their views and opinions.</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Focus groups can be an effective technique for gathering feedback. Yet, they also have some distinct pitfalls. </w:t>
      </w:r>
      <w:r w:rsidRPr="00E943CF">
        <w:rPr>
          <w:rFonts w:ascii="Arial" w:eastAsia="Times New Roman" w:hAnsi="Arial" w:cs="Arial"/>
          <w:i/>
          <w:iCs/>
          <w:color w:val="000000"/>
          <w:spacing w:val="3"/>
          <w:sz w:val="27"/>
          <w:szCs w:val="27"/>
        </w:rPr>
        <w:t>Exhibit 42</w:t>
      </w:r>
      <w:r w:rsidRPr="00E943CF">
        <w:rPr>
          <w:rFonts w:ascii="Arial" w:eastAsia="Times New Roman" w:hAnsi="Arial" w:cs="Arial"/>
          <w:color w:val="000000"/>
          <w:spacing w:val="3"/>
          <w:sz w:val="27"/>
          <w:szCs w:val="27"/>
        </w:rPr>
        <w:t> lists several general advantages and challenges of focus groups.</w:t>
      </w:r>
    </w:p>
    <w:p w:rsidR="00E943CF" w:rsidRPr="00E943CF" w:rsidRDefault="00E943CF" w:rsidP="00E943CF">
      <w:pPr>
        <w:spacing w:after="0" w:line="240" w:lineRule="auto"/>
        <w:outlineLvl w:val="3"/>
        <w:rPr>
          <w:rFonts w:ascii="Arial" w:eastAsia="Times New Roman" w:hAnsi="Arial" w:cs="Arial"/>
          <w:b/>
          <w:bCs/>
          <w:color w:val="7B0048"/>
          <w:spacing w:val="3"/>
          <w:sz w:val="24"/>
          <w:szCs w:val="24"/>
        </w:rPr>
      </w:pPr>
      <w:r w:rsidRPr="00E943CF">
        <w:rPr>
          <w:rFonts w:ascii="Arial" w:eastAsia="Times New Roman" w:hAnsi="Arial" w:cs="Arial"/>
          <w:b/>
          <w:bCs/>
          <w:color w:val="7B0048"/>
          <w:spacing w:val="3"/>
          <w:sz w:val="24"/>
          <w:szCs w:val="24"/>
        </w:rPr>
        <w:t>Exhibit 42: Advantages and Challenges of Employee Focus Groups</w:t>
      </w: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4453"/>
        <w:gridCol w:w="5147"/>
      </w:tblGrid>
      <w:tr w:rsidR="00E943CF" w:rsidRPr="00E943CF" w:rsidTr="00E943CF">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Focus Group Advantages</w:t>
            </w:r>
          </w:p>
        </w:tc>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Focus Group Challenges</w:t>
            </w:r>
          </w:p>
        </w:tc>
      </w:tr>
      <w:tr w:rsidR="00E943CF" w:rsidRPr="00E943CF" w:rsidTr="00E943CF">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Provides a format that is flexible and relatively comfortable for discussion</w:t>
            </w:r>
          </w:p>
          <w:p w:rsidR="00E943CF" w:rsidRPr="00E943CF" w:rsidRDefault="00E943CF" w:rsidP="00E943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Allows for group brainstorming, decision making, and prioritization</w:t>
            </w:r>
          </w:p>
          <w:p w:rsidR="00E943CF" w:rsidRPr="00E943CF" w:rsidRDefault="00E943CF" w:rsidP="00E943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Can provide group consensus</w:t>
            </w:r>
          </w:p>
          <w:p w:rsidR="00E943CF" w:rsidRPr="00E943CF" w:rsidRDefault="00E943CF" w:rsidP="00E943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Enables HR to learn about employee needs, attitudes, and opinions in a direct format</w:t>
            </w:r>
          </w:p>
          <w:p w:rsidR="00E943CF" w:rsidRPr="00E943CF" w:rsidRDefault="00E943CF" w:rsidP="00E943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Gives employees direct input</w:t>
            </w:r>
          </w:p>
        </w:tc>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Tends to foster “group think” conformity</w:t>
            </w:r>
          </w:p>
          <w:p w:rsidR="00E943CF" w:rsidRPr="00E943CF" w:rsidRDefault="00E943CF" w:rsidP="00E943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May be difficult to control; can become a forum where participants go off on tangents</w:t>
            </w:r>
          </w:p>
          <w:p w:rsidR="00E943CF" w:rsidRPr="00E943CF" w:rsidRDefault="00E943CF" w:rsidP="00E943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Generally don’t allow for deep discussions, depending on time constraints and the number of participants</w:t>
            </w:r>
          </w:p>
          <w:p w:rsidR="00E943CF" w:rsidRPr="00E943CF" w:rsidRDefault="00E943CF" w:rsidP="00E943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Can provide skewed or biased results if participants are not representative</w:t>
            </w:r>
          </w:p>
        </w:tc>
      </w:tr>
    </w:tbl>
    <w:p w:rsidR="00E943CF" w:rsidRPr="00E943CF" w:rsidRDefault="00E943CF" w:rsidP="00E943CF">
      <w:pPr>
        <w:spacing w:before="100" w:beforeAutospacing="1" w:after="100" w:afterAutospacing="1" w:line="240" w:lineRule="auto"/>
        <w:outlineLvl w:val="3"/>
        <w:rPr>
          <w:rFonts w:ascii="Arial" w:eastAsia="Times New Roman" w:hAnsi="Arial" w:cs="Arial"/>
          <w:color w:val="000000"/>
          <w:spacing w:val="3"/>
          <w:sz w:val="24"/>
          <w:szCs w:val="24"/>
        </w:rPr>
      </w:pPr>
      <w:r w:rsidRPr="00E943CF">
        <w:rPr>
          <w:rFonts w:ascii="Arial" w:eastAsia="Times New Roman" w:hAnsi="Arial" w:cs="Arial"/>
          <w:color w:val="000000"/>
          <w:spacing w:val="3"/>
          <w:sz w:val="24"/>
          <w:szCs w:val="24"/>
        </w:rPr>
        <w:t>Conducting More Effective Focus Groups</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lastRenderedPageBreak/>
        <w:t>Focus groups should be conducted in a private room where participants are free from distractions and interruptions (e.g., a conference room, not the break room). Provisions should be made for refreshments and a planned break as appropriate.</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When planning a focus group, HR professionals should consider the following.</w:t>
      </w:r>
    </w:p>
    <w:p w:rsidR="00E943CF" w:rsidRPr="00E943CF" w:rsidRDefault="00E943CF" w:rsidP="00E943CF">
      <w:pPr>
        <w:numPr>
          <w:ilvl w:val="0"/>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The importance of planning.</w:t>
      </w:r>
      <w:r w:rsidRPr="00E943CF">
        <w:rPr>
          <w:rFonts w:ascii="Arial" w:eastAsia="Times New Roman" w:hAnsi="Arial" w:cs="Arial"/>
          <w:color w:val="000000"/>
          <w:spacing w:val="3"/>
          <w:sz w:val="27"/>
          <w:szCs w:val="27"/>
        </w:rPr>
        <w:t> Effective planning is critical. Focus group objectives must be clearly defined, as they influence all subsequent focus group questions and the structure and flow of the discussion. Any stimulus materials should be designed and debugged in advance.</w:t>
      </w:r>
    </w:p>
    <w:p w:rsidR="00E943CF" w:rsidRPr="00E943CF" w:rsidRDefault="00E943CF" w:rsidP="00E943CF">
      <w:pPr>
        <w:numPr>
          <w:ilvl w:val="0"/>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The context in which a focus group might occur.</w:t>
      </w:r>
      <w:r w:rsidRPr="00E943CF">
        <w:rPr>
          <w:rFonts w:ascii="Arial" w:eastAsia="Times New Roman" w:hAnsi="Arial" w:cs="Arial"/>
          <w:color w:val="000000"/>
          <w:spacing w:val="3"/>
          <w:sz w:val="27"/>
          <w:szCs w:val="27"/>
        </w:rPr>
        <w:t> Cultural effects, both organizational and national, could affect participation, and legal environments could affect the information gathered.</w:t>
      </w:r>
    </w:p>
    <w:p w:rsidR="00E943CF" w:rsidRPr="00E943CF" w:rsidRDefault="00E943CF" w:rsidP="00E943CF">
      <w:pPr>
        <w:numPr>
          <w:ilvl w:val="0"/>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The importance of the facilitator.</w:t>
      </w:r>
      <w:r w:rsidRPr="00E943CF">
        <w:rPr>
          <w:rFonts w:ascii="Arial" w:eastAsia="Times New Roman" w:hAnsi="Arial" w:cs="Arial"/>
          <w:color w:val="000000"/>
          <w:spacing w:val="3"/>
          <w:sz w:val="27"/>
          <w:szCs w:val="27"/>
        </w:rPr>
        <w:t> Similar to planning, having a good facilitator (or moderator) contributes to a successful focus group. A focus group facilitator should:</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Know the topics reasonably well.</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Be a good listener.</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Possess a good understanding of group dynamics and skill at conflict resolution (should differences in opinions arise).</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Allow group perspectives to emerge without interjecting any bias or allowing any one individual to dominate.</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Have enthusiasm for the session (which can be contagious in a group setting).</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Possess competent facilitation skills for any focus group activities and exercises.</w:t>
      </w:r>
    </w:p>
    <w:p w:rsidR="00E943CF" w:rsidRPr="00E943CF" w:rsidRDefault="00E943CF" w:rsidP="00E943CF">
      <w:pPr>
        <w:numPr>
          <w:ilvl w:val="1"/>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Be conscious of time allocation and usage.</w:t>
      </w:r>
    </w:p>
    <w:p w:rsidR="00E943CF" w:rsidRPr="00E943CF" w:rsidRDefault="00E943CF" w:rsidP="00E943CF">
      <w:pPr>
        <w:spacing w:after="100" w:afterAutospacing="1" w:line="240" w:lineRule="auto"/>
        <w:ind w:left="720"/>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If the organization does not have qualified staff to act as facilitators, it could consider hiring an outside facilitator who possesses the characteristics listed above.</w:t>
      </w:r>
    </w:p>
    <w:p w:rsidR="00E943CF" w:rsidRPr="00E943CF" w:rsidRDefault="00E943CF" w:rsidP="00E943CF">
      <w:pPr>
        <w:numPr>
          <w:ilvl w:val="0"/>
          <w:numId w:val="4"/>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The importance of the recorder.</w:t>
      </w:r>
      <w:r w:rsidRPr="00E943CF">
        <w:rPr>
          <w:rFonts w:ascii="Arial" w:eastAsia="Times New Roman" w:hAnsi="Arial" w:cs="Arial"/>
          <w:color w:val="000000"/>
          <w:spacing w:val="3"/>
          <w:sz w:val="27"/>
          <w:szCs w:val="27"/>
        </w:rPr>
        <w:t> A focus group should have a person designated as a note taker to record comments on flip charts, etc. A designated note taker allows the facilitator to remain focused on group dynamics that enrich the focus group experience.</w:t>
      </w:r>
    </w:p>
    <w:p w:rsidR="00E943CF" w:rsidRPr="00E943CF" w:rsidRDefault="00E943CF" w:rsidP="00E943CF">
      <w:pPr>
        <w:spacing w:before="100" w:beforeAutospacing="1" w:after="100" w:afterAutospacing="1" w:line="240" w:lineRule="auto"/>
        <w:outlineLvl w:val="3"/>
        <w:rPr>
          <w:rFonts w:ascii="Arial" w:eastAsia="Times New Roman" w:hAnsi="Arial" w:cs="Arial"/>
          <w:color w:val="000000"/>
          <w:spacing w:val="3"/>
          <w:sz w:val="24"/>
          <w:szCs w:val="24"/>
        </w:rPr>
      </w:pPr>
      <w:r w:rsidRPr="00E943CF">
        <w:rPr>
          <w:rFonts w:ascii="Arial" w:eastAsia="Times New Roman" w:hAnsi="Arial" w:cs="Arial"/>
          <w:color w:val="000000"/>
          <w:spacing w:val="3"/>
          <w:sz w:val="24"/>
          <w:szCs w:val="24"/>
        </w:rPr>
        <w:t>Focus Group Tools</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lastRenderedPageBreak/>
        <w:t>Focus group facilitators can use different techniques to generate discussion, spur thought, and organize and prioritize ideas.</w:t>
      </w:r>
    </w:p>
    <w:p w:rsidR="00E943CF" w:rsidRPr="00E943CF" w:rsidRDefault="00E943CF" w:rsidP="00E943CF">
      <w:pPr>
        <w:numPr>
          <w:ilvl w:val="0"/>
          <w:numId w:val="5"/>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Mind mapping</w:t>
      </w:r>
      <w:r w:rsidRPr="00E943CF">
        <w:rPr>
          <w:rFonts w:ascii="Arial" w:eastAsia="Times New Roman" w:hAnsi="Arial" w:cs="Arial"/>
          <w:b/>
          <w:bCs/>
          <w:i/>
          <w:iCs/>
          <w:color w:val="000000"/>
          <w:spacing w:val="3"/>
          <w:sz w:val="27"/>
          <w:szCs w:val="27"/>
        </w:rPr>
        <w:t> </w:t>
      </w:r>
      <w:r w:rsidRPr="00E943CF">
        <w:rPr>
          <w:rFonts w:ascii="Arial" w:eastAsia="Times New Roman" w:hAnsi="Arial" w:cs="Arial"/>
          <w:b/>
          <w:bCs/>
          <w:color w:val="000000"/>
          <w:spacing w:val="3"/>
          <w:sz w:val="27"/>
          <w:szCs w:val="27"/>
        </w:rPr>
        <w:t>and</w:t>
      </w:r>
      <w:r w:rsidRPr="00E943CF">
        <w:rPr>
          <w:rFonts w:ascii="Arial" w:eastAsia="Times New Roman" w:hAnsi="Arial" w:cs="Arial"/>
          <w:i/>
          <w:iCs/>
          <w:color w:val="000000"/>
          <w:spacing w:val="3"/>
          <w:sz w:val="27"/>
          <w:szCs w:val="27"/>
        </w:rPr>
        <w:t> </w:t>
      </w:r>
      <w:r w:rsidRPr="00E943CF">
        <w:rPr>
          <w:rFonts w:ascii="Arial" w:eastAsia="Times New Roman" w:hAnsi="Arial" w:cs="Arial"/>
          <w:b/>
          <w:bCs/>
          <w:color w:val="000000"/>
          <w:spacing w:val="3"/>
          <w:sz w:val="27"/>
          <w:szCs w:val="27"/>
        </w:rPr>
        <w:t>affinity diagramming.</w:t>
      </w:r>
      <w:r w:rsidRPr="00E943CF">
        <w:rPr>
          <w:rFonts w:ascii="Arial" w:eastAsia="Times New Roman" w:hAnsi="Arial" w:cs="Arial"/>
          <w:color w:val="000000"/>
          <w:spacing w:val="3"/>
          <w:sz w:val="27"/>
          <w:szCs w:val="27"/>
        </w:rPr>
        <w:t> Mind mapping begins the discussion with core ideas. The group members add related ideas and indicate logical connections, eventually grouping similar ideas. This can be done on paper or a whiteboard or with sticky notes. Affinity diagramming is a way of sorting a large amount of data that has already been collected. The group categorizes and subcategorizes data until relationships are clearly drawn.</w:t>
      </w:r>
    </w:p>
    <w:p w:rsidR="00E943CF" w:rsidRPr="00E943CF" w:rsidRDefault="00E943CF" w:rsidP="00E943CF">
      <w:pPr>
        <w:numPr>
          <w:ilvl w:val="0"/>
          <w:numId w:val="5"/>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Nominal group technique (NGT).</w:t>
      </w:r>
      <w:r w:rsidRPr="00E943CF">
        <w:rPr>
          <w:rFonts w:ascii="Arial" w:eastAsia="Times New Roman" w:hAnsi="Arial" w:cs="Arial"/>
          <w:color w:val="000000"/>
          <w:spacing w:val="3"/>
          <w:sz w:val="27"/>
          <w:szCs w:val="27"/>
        </w:rPr>
        <w:t> This technique proceeds through rounds in which participants each suggest ideas. The rounds continue until no further ideas are proposed. Then the group discusses the items, eliminates redundancies and items considered irrelevant, and agrees on the importance of the remaining items. NGT can be practiced with idea generation by individuals, subgroups, or the entire group. Similarly the initial sorting of ideas can be done in subgroups before returning to the main group to reach consensus.</w:t>
      </w:r>
    </w:p>
    <w:p w:rsidR="00E943CF" w:rsidRPr="00E943CF" w:rsidRDefault="00E943CF" w:rsidP="00E943CF">
      <w:pPr>
        <w:numPr>
          <w:ilvl w:val="0"/>
          <w:numId w:val="5"/>
        </w:numPr>
        <w:spacing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Delphi technique.</w:t>
      </w:r>
      <w:r w:rsidRPr="00E943CF">
        <w:rPr>
          <w:rFonts w:ascii="Arial" w:eastAsia="Times New Roman" w:hAnsi="Arial" w:cs="Arial"/>
          <w:color w:val="000000"/>
          <w:spacing w:val="3"/>
          <w:sz w:val="27"/>
          <w:szCs w:val="27"/>
        </w:rPr>
        <w:t xml:space="preserve"> This technique progressively collects information from a group on a preselected issue. The first respondent proposes </w:t>
      </w:r>
      <w:proofErr w:type="gramStart"/>
      <w:r w:rsidRPr="00E943CF">
        <w:rPr>
          <w:rFonts w:ascii="Arial" w:eastAsia="Times New Roman" w:hAnsi="Arial" w:cs="Arial"/>
          <w:color w:val="000000"/>
          <w:spacing w:val="3"/>
          <w:sz w:val="27"/>
          <w:szCs w:val="27"/>
        </w:rPr>
        <w:t>information,</w:t>
      </w:r>
      <w:proofErr w:type="gramEnd"/>
      <w:r w:rsidRPr="00E943CF">
        <w:rPr>
          <w:rFonts w:ascii="Arial" w:eastAsia="Times New Roman" w:hAnsi="Arial" w:cs="Arial"/>
          <w:color w:val="000000"/>
          <w:spacing w:val="3"/>
          <w:sz w:val="27"/>
          <w:szCs w:val="27"/>
        </w:rPr>
        <w:t xml:space="preserve"> the next respondent adds something different, and so on, until a list can be compiled. The respondents are anonymous. In the second round, the researcher circulates the list and asks each respondent in turn to refine previous ideas, to comment on each idea’s strengths and weaknesses for addressing the issue, and to identify new ideas. This technique is designed to facilitate group involvement, problem solving, and individual thinking while avoiding “group think,” where participants can be influenced by what others say.</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Surveys and questionnaires are relatively inexpensive ways to gather a large amount of data from a large and dispersed group of subjects. Dispersed can mean physical location but also time or work shift. Technology—the Internet, mobile devices and networks, survey creation tools—has made these tools even easier to create and administer.</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color w:val="000000"/>
          <w:spacing w:val="3"/>
          <w:sz w:val="27"/>
          <w:szCs w:val="27"/>
        </w:rPr>
        <w:t>Serious challenges remain, however:</w:t>
      </w:r>
    </w:p>
    <w:p w:rsidR="00E943CF" w:rsidRPr="00E943CF" w:rsidRDefault="00E943CF" w:rsidP="00E943CF">
      <w:pPr>
        <w:numPr>
          <w:ilvl w:val="0"/>
          <w:numId w:val="6"/>
        </w:num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Obtaining a valid sample.</w:t>
      </w:r>
      <w:r w:rsidRPr="00E943CF">
        <w:rPr>
          <w:rFonts w:ascii="Arial" w:eastAsia="Times New Roman" w:hAnsi="Arial" w:cs="Arial"/>
          <w:color w:val="000000"/>
          <w:spacing w:val="3"/>
          <w:sz w:val="27"/>
          <w:szCs w:val="27"/>
        </w:rPr>
        <w:t xml:space="preserve"> Researchers must make sure that survey results are truly representative—that the number of returned surveys is sufficiently large to be representative and that the group responding accurately reflects the attributes of the entire group. Explaining the purpose and importance of the survey may improve the response rate, </w:t>
      </w:r>
      <w:r w:rsidRPr="00E943CF">
        <w:rPr>
          <w:rFonts w:ascii="Arial" w:eastAsia="Times New Roman" w:hAnsi="Arial" w:cs="Arial"/>
          <w:color w:val="000000"/>
          <w:spacing w:val="3"/>
          <w:sz w:val="27"/>
          <w:szCs w:val="27"/>
        </w:rPr>
        <w:lastRenderedPageBreak/>
        <w:t>as will making it easier to complete—i.e., shorter and easier to understand. Researchers should be aware of survey approaches that affect who can respond—for example, using an online survey in a workplace where not all workers have equal online access. This affects the sample size and the ethical impact of the survey.</w:t>
      </w:r>
    </w:p>
    <w:p w:rsidR="00E943CF" w:rsidRPr="00E943CF" w:rsidRDefault="00E943CF" w:rsidP="00E943CF">
      <w:pPr>
        <w:numPr>
          <w:ilvl w:val="0"/>
          <w:numId w:val="6"/>
        </w:num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Designing the survey with analysis in mind.</w:t>
      </w:r>
      <w:r w:rsidRPr="00E943CF">
        <w:rPr>
          <w:rFonts w:ascii="Arial" w:eastAsia="Times New Roman" w:hAnsi="Arial" w:cs="Arial"/>
          <w:color w:val="000000"/>
          <w:spacing w:val="3"/>
          <w:sz w:val="27"/>
          <w:szCs w:val="27"/>
        </w:rPr>
        <w:t xml:space="preserve"> Questions should be asked in a way that makes compiling and comparing responses easier. This usually means relying heavily on quantifiable responses (e.g., the </w:t>
      </w:r>
      <w:proofErr w:type="spellStart"/>
      <w:r w:rsidRPr="00E943CF">
        <w:rPr>
          <w:rFonts w:ascii="Arial" w:eastAsia="Times New Roman" w:hAnsi="Arial" w:cs="Arial"/>
          <w:color w:val="000000"/>
          <w:spacing w:val="3"/>
          <w:sz w:val="27"/>
          <w:szCs w:val="27"/>
        </w:rPr>
        <w:t>Likert</w:t>
      </w:r>
      <w:proofErr w:type="spellEnd"/>
      <w:r w:rsidRPr="00E943CF">
        <w:rPr>
          <w:rFonts w:ascii="Arial" w:eastAsia="Times New Roman" w:hAnsi="Arial" w:cs="Arial"/>
          <w:color w:val="000000"/>
          <w:spacing w:val="3"/>
          <w:sz w:val="27"/>
          <w:szCs w:val="27"/>
        </w:rPr>
        <w:t xml:space="preserve"> scale, which asks respondents to choose ratings, usually from 1 to 5 points). Freeform feedback (i.e., narrative comments, examples, suggestions) can be included as well and will enrich the research report.</w:t>
      </w:r>
    </w:p>
    <w:p w:rsidR="00E943CF" w:rsidRPr="00E943CF" w:rsidRDefault="00E943CF" w:rsidP="00E943CF">
      <w:pPr>
        <w:numPr>
          <w:ilvl w:val="0"/>
          <w:numId w:val="7"/>
        </w:num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b/>
          <w:bCs/>
          <w:color w:val="000000"/>
          <w:spacing w:val="3"/>
          <w:sz w:val="27"/>
          <w:szCs w:val="27"/>
        </w:rPr>
        <w:t>Asking the right questions.</w:t>
      </w:r>
      <w:r w:rsidRPr="00E943CF">
        <w:rPr>
          <w:rFonts w:ascii="Arial" w:eastAsia="Times New Roman" w:hAnsi="Arial" w:cs="Arial"/>
          <w:color w:val="000000"/>
          <w:spacing w:val="3"/>
          <w:sz w:val="27"/>
          <w:szCs w:val="27"/>
        </w:rPr>
        <w:t> To understand an entire organization, experts often turn to questions based on organizational models that map various internal and external environmental factors that can affect attitudes and work. Internal factors generally include strategy and purpose, leadership, rewards, and relationships; external factors include opportunities and threats included in SWOT and PESTLE analyses. In global or diverse organizations, researchers must also be mindful of language and cultural differences that could complicate the communication task.</w:t>
      </w:r>
    </w:p>
    <w:p w:rsidR="00E943CF" w:rsidRPr="00E943CF" w:rsidRDefault="00E943CF" w:rsidP="00E943CF">
      <w:pPr>
        <w:spacing w:before="100" w:beforeAutospacing="1" w:after="100" w:afterAutospacing="1" w:line="240" w:lineRule="auto"/>
        <w:rPr>
          <w:rFonts w:ascii="Arial" w:eastAsia="Times New Roman" w:hAnsi="Arial" w:cs="Arial"/>
          <w:color w:val="000000"/>
          <w:spacing w:val="3"/>
          <w:sz w:val="27"/>
          <w:szCs w:val="27"/>
        </w:rPr>
      </w:pPr>
      <w:r w:rsidRPr="00E943CF">
        <w:rPr>
          <w:rFonts w:ascii="Arial" w:eastAsia="Times New Roman" w:hAnsi="Arial" w:cs="Arial"/>
          <w:i/>
          <w:iCs/>
          <w:color w:val="000000"/>
          <w:spacing w:val="3"/>
          <w:sz w:val="27"/>
          <w:szCs w:val="27"/>
        </w:rPr>
        <w:t>Exhibit 43</w:t>
      </w:r>
      <w:r w:rsidRPr="00E943CF">
        <w:rPr>
          <w:rFonts w:ascii="Arial" w:eastAsia="Times New Roman" w:hAnsi="Arial" w:cs="Arial"/>
          <w:color w:val="000000"/>
          <w:spacing w:val="3"/>
          <w:sz w:val="27"/>
          <w:szCs w:val="27"/>
        </w:rPr>
        <w:t> summarizes the advantages and challenges of using surveys and questionnaires.</w:t>
      </w:r>
    </w:p>
    <w:p w:rsidR="00E943CF" w:rsidRPr="00E943CF" w:rsidRDefault="00E943CF" w:rsidP="00E943CF">
      <w:pPr>
        <w:spacing w:after="0" w:line="240" w:lineRule="auto"/>
        <w:outlineLvl w:val="3"/>
        <w:rPr>
          <w:rFonts w:ascii="Arial" w:eastAsia="Times New Roman" w:hAnsi="Arial" w:cs="Arial"/>
          <w:b/>
          <w:bCs/>
          <w:color w:val="7B0048"/>
          <w:spacing w:val="3"/>
          <w:sz w:val="24"/>
          <w:szCs w:val="24"/>
        </w:rPr>
      </w:pPr>
      <w:r w:rsidRPr="00E943CF">
        <w:rPr>
          <w:rFonts w:ascii="Arial" w:eastAsia="Times New Roman" w:hAnsi="Arial" w:cs="Arial"/>
          <w:b/>
          <w:bCs/>
          <w:color w:val="7B0048"/>
          <w:spacing w:val="3"/>
          <w:sz w:val="24"/>
          <w:szCs w:val="24"/>
        </w:rPr>
        <w:t>Exhibit 43: Advantages and Challenges of Surveys/Questionnaires</w:t>
      </w: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4514"/>
        <w:gridCol w:w="5086"/>
      </w:tblGrid>
      <w:tr w:rsidR="00E943CF" w:rsidRPr="00E943CF" w:rsidTr="00E943CF">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Survey/Questionnaire Advantages</w:t>
            </w:r>
          </w:p>
        </w:tc>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Survey/Questionnaire Challenges</w:t>
            </w:r>
          </w:p>
        </w:tc>
      </w:tr>
      <w:tr w:rsidR="00E943CF" w:rsidRPr="00E943CF" w:rsidTr="00E943CF">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Efficient way to gather a lot of data from a large and dispersed group</w:t>
            </w:r>
          </w:p>
          <w:p w:rsidR="00E943CF" w:rsidRPr="00E943CF" w:rsidRDefault="00E943CF" w:rsidP="00E943C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Easier to quantify data for analysis and reporting</w:t>
            </w:r>
          </w:p>
        </w:tc>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Can be difficult to obtain an acceptable response rate</w:t>
            </w:r>
          </w:p>
          <w:p w:rsidR="00E943CF" w:rsidRPr="00E943CF" w:rsidRDefault="00E943CF" w:rsidP="00E943C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Difficult to follow up on data from anonymous sources</w:t>
            </w:r>
          </w:p>
          <w:p w:rsidR="00E943CF" w:rsidRPr="00E943CF" w:rsidRDefault="00E943CF" w:rsidP="00E943C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Relies on self-reporting, which can be biased</w:t>
            </w:r>
          </w:p>
          <w:p w:rsidR="00E943CF" w:rsidRPr="00E943CF" w:rsidRDefault="00E943CF" w:rsidP="00E943C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Requires time and statistical expertise to assess sample and compile and analyze data</w:t>
            </w:r>
          </w:p>
        </w:tc>
      </w:tr>
    </w:tbl>
    <w:p w:rsidR="00E943CF" w:rsidRPr="00E943CF" w:rsidRDefault="00E943CF" w:rsidP="00E943CF">
      <w:pPr>
        <w:shd w:val="clear" w:color="auto" w:fill="FFFFFF"/>
        <w:spacing w:before="100" w:beforeAutospacing="1" w:after="100" w:afterAutospacing="1" w:line="240" w:lineRule="auto"/>
        <w:rPr>
          <w:rFonts w:ascii="Arial" w:eastAsia="Times New Roman" w:hAnsi="Arial" w:cs="Arial"/>
          <w:spacing w:val="3"/>
          <w:sz w:val="27"/>
          <w:szCs w:val="27"/>
        </w:rPr>
      </w:pPr>
      <w:r w:rsidRPr="00E943CF">
        <w:rPr>
          <w:rFonts w:ascii="Arial" w:eastAsia="Times New Roman" w:hAnsi="Arial" w:cs="Arial"/>
          <w:spacing w:val="3"/>
          <w:sz w:val="27"/>
          <w:szCs w:val="27"/>
        </w:rPr>
        <w:t xml:space="preserve">HR professionals can also gather data by observing the workplace and work processes. This removes the self-reporting filter that is present in interviews, surveys, and focus groups. Observers can note factors that participants are </w:t>
      </w:r>
      <w:r w:rsidRPr="00E943CF">
        <w:rPr>
          <w:rFonts w:ascii="Arial" w:eastAsia="Times New Roman" w:hAnsi="Arial" w:cs="Arial"/>
          <w:spacing w:val="3"/>
          <w:sz w:val="27"/>
          <w:szCs w:val="27"/>
        </w:rPr>
        <w:lastRenderedPageBreak/>
        <w:t>unaware of or have become accustomed to as well as any that participants are reluctant to mention for personal reasons. Observation can also strengthen the HR professional’s understanding of the work at hand and the culture of the workplace. For example, an HR professional could observe a meeting of a dysfunctional team and note obstacles not mentioned in interviews, such as negative behavior by certain team members or weak leadership skills.</w:t>
      </w:r>
    </w:p>
    <w:p w:rsidR="00E943CF" w:rsidRPr="00E943CF" w:rsidRDefault="00E943CF" w:rsidP="00E943CF">
      <w:pPr>
        <w:shd w:val="clear" w:color="auto" w:fill="FFFFFF"/>
        <w:spacing w:before="100" w:beforeAutospacing="1" w:after="100" w:afterAutospacing="1" w:line="240" w:lineRule="auto"/>
        <w:rPr>
          <w:rFonts w:ascii="Arial" w:eastAsia="Times New Roman" w:hAnsi="Arial" w:cs="Arial"/>
          <w:spacing w:val="3"/>
          <w:sz w:val="27"/>
          <w:szCs w:val="27"/>
        </w:rPr>
      </w:pPr>
      <w:r w:rsidRPr="00E943CF">
        <w:rPr>
          <w:rFonts w:ascii="Arial" w:eastAsia="Times New Roman" w:hAnsi="Arial" w:cs="Arial"/>
          <w:i/>
          <w:iCs/>
          <w:spacing w:val="3"/>
          <w:sz w:val="27"/>
          <w:szCs w:val="27"/>
        </w:rPr>
        <w:t>Exhibit 44</w:t>
      </w:r>
      <w:r w:rsidRPr="00E943CF">
        <w:rPr>
          <w:rFonts w:ascii="Arial" w:eastAsia="Times New Roman" w:hAnsi="Arial" w:cs="Arial"/>
          <w:spacing w:val="3"/>
          <w:sz w:val="27"/>
          <w:szCs w:val="27"/>
        </w:rPr>
        <w:t> lists some advantages and challenges of using observation to gather data.</w:t>
      </w:r>
    </w:p>
    <w:p w:rsidR="00E943CF" w:rsidRPr="00E943CF" w:rsidRDefault="00E943CF" w:rsidP="00E943CF">
      <w:pPr>
        <w:shd w:val="clear" w:color="auto" w:fill="FFFFFF"/>
        <w:spacing w:after="0" w:line="240" w:lineRule="auto"/>
        <w:outlineLvl w:val="3"/>
        <w:rPr>
          <w:rFonts w:ascii="Arial" w:eastAsia="Times New Roman" w:hAnsi="Arial" w:cs="Arial"/>
          <w:b/>
          <w:bCs/>
          <w:color w:val="7B0048"/>
          <w:spacing w:val="3"/>
          <w:sz w:val="24"/>
          <w:szCs w:val="24"/>
        </w:rPr>
      </w:pPr>
      <w:r w:rsidRPr="00E943CF">
        <w:rPr>
          <w:rFonts w:ascii="Arial" w:eastAsia="Times New Roman" w:hAnsi="Arial" w:cs="Arial"/>
          <w:b/>
          <w:bCs/>
          <w:color w:val="7B0048"/>
          <w:spacing w:val="3"/>
          <w:sz w:val="24"/>
          <w:szCs w:val="24"/>
        </w:rPr>
        <w:t>Exhibit 44: Advantages and Challenges of Observation to Gather Information</w:t>
      </w: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4417"/>
        <w:gridCol w:w="5183"/>
      </w:tblGrid>
      <w:tr w:rsidR="00E943CF" w:rsidRPr="00E943CF" w:rsidTr="00E943CF">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Observation Advantages</w:t>
            </w:r>
          </w:p>
        </w:tc>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E943CF" w:rsidRPr="00E943CF" w:rsidRDefault="00E943CF" w:rsidP="00E943CF">
            <w:pPr>
              <w:spacing w:after="0" w:line="240" w:lineRule="auto"/>
              <w:jc w:val="center"/>
              <w:rPr>
                <w:rFonts w:ascii="Times New Roman" w:eastAsia="Times New Roman" w:hAnsi="Times New Roman" w:cs="Times New Roman"/>
                <w:b/>
                <w:bCs/>
                <w:sz w:val="24"/>
                <w:szCs w:val="24"/>
              </w:rPr>
            </w:pPr>
            <w:r w:rsidRPr="00E943CF">
              <w:rPr>
                <w:rFonts w:ascii="Times New Roman" w:eastAsia="Times New Roman" w:hAnsi="Times New Roman" w:cs="Times New Roman"/>
                <w:b/>
                <w:bCs/>
                <w:sz w:val="24"/>
                <w:szCs w:val="24"/>
              </w:rPr>
              <w:t>Observation Challenges</w:t>
            </w:r>
          </w:p>
        </w:tc>
      </w:tr>
      <w:tr w:rsidR="00E943CF" w:rsidRPr="00E943CF" w:rsidTr="00E943CF">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Provides firsthand and immediate data rather than self-reported data, which can be affected by memory and selectivity.</w:t>
            </w:r>
          </w:p>
          <w:p w:rsidR="00E943CF" w:rsidRPr="00E943CF" w:rsidRDefault="00E943CF" w:rsidP="00E943C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Is time-efficient for subjects.</w:t>
            </w:r>
          </w:p>
        </w:tc>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E943CF" w:rsidRPr="00E943CF" w:rsidRDefault="00E943CF" w:rsidP="00E943C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Requires skill to be unseen. When the group is very aware of the observer, the data becomes less reliable.</w:t>
            </w:r>
          </w:p>
          <w:p w:rsidR="00E943CF" w:rsidRPr="00E943CF" w:rsidRDefault="00E943CF" w:rsidP="00E943C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Requires vigilance to remove personal bias from observations.</w:t>
            </w:r>
          </w:p>
          <w:p w:rsidR="00E943CF" w:rsidRPr="00E943CF" w:rsidRDefault="00E943CF" w:rsidP="00E943C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Requires experience to note significant behaviors.</w:t>
            </w:r>
          </w:p>
          <w:p w:rsidR="00E943CF" w:rsidRPr="00E943CF" w:rsidRDefault="00E943CF" w:rsidP="00E943C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3CF">
              <w:rPr>
                <w:rFonts w:ascii="Times New Roman" w:eastAsia="Times New Roman" w:hAnsi="Times New Roman" w:cs="Times New Roman"/>
                <w:sz w:val="24"/>
                <w:szCs w:val="24"/>
              </w:rPr>
              <w:t xml:space="preserve">Observations may not be representative of the entire body of data (i.e., the totality of every meeting, every work process, </w:t>
            </w:r>
            <w:proofErr w:type="gramStart"/>
            <w:r w:rsidRPr="00E943CF">
              <w:rPr>
                <w:rFonts w:ascii="Times New Roman" w:eastAsia="Times New Roman" w:hAnsi="Times New Roman" w:cs="Times New Roman"/>
                <w:sz w:val="24"/>
                <w:szCs w:val="24"/>
              </w:rPr>
              <w:t>every</w:t>
            </w:r>
            <w:proofErr w:type="gramEnd"/>
            <w:r w:rsidRPr="00E943CF">
              <w:rPr>
                <w:rFonts w:ascii="Times New Roman" w:eastAsia="Times New Roman" w:hAnsi="Times New Roman" w:cs="Times New Roman"/>
                <w:sz w:val="24"/>
                <w:szCs w:val="24"/>
              </w:rPr>
              <w:t xml:space="preserve"> transaction).</w:t>
            </w:r>
          </w:p>
        </w:tc>
      </w:tr>
    </w:tbl>
    <w:p w:rsidR="006A211B" w:rsidRDefault="00E943CF">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882"/>
    <w:multiLevelType w:val="multilevel"/>
    <w:tmpl w:val="776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A7315"/>
    <w:multiLevelType w:val="multilevel"/>
    <w:tmpl w:val="632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D1328"/>
    <w:multiLevelType w:val="multilevel"/>
    <w:tmpl w:val="4D3C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900E7"/>
    <w:multiLevelType w:val="multilevel"/>
    <w:tmpl w:val="8216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7322B2"/>
    <w:multiLevelType w:val="multilevel"/>
    <w:tmpl w:val="5D20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F14B9"/>
    <w:multiLevelType w:val="multilevel"/>
    <w:tmpl w:val="657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D59F1"/>
    <w:multiLevelType w:val="multilevel"/>
    <w:tmpl w:val="5F3C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886ECD"/>
    <w:multiLevelType w:val="multilevel"/>
    <w:tmpl w:val="0C1C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51D3B"/>
    <w:multiLevelType w:val="multilevel"/>
    <w:tmpl w:val="53D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A0F1F"/>
    <w:multiLevelType w:val="multilevel"/>
    <w:tmpl w:val="ADF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C15C02"/>
    <w:multiLevelType w:val="multilevel"/>
    <w:tmpl w:val="EA46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6"/>
  </w:num>
  <w:num w:numId="6">
    <w:abstractNumId w:val="0"/>
  </w:num>
  <w:num w:numId="7">
    <w:abstractNumId w:val="3"/>
  </w:num>
  <w:num w:numId="8">
    <w:abstractNumId w:val="10"/>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CF"/>
    <w:rsid w:val="008532F6"/>
    <w:rsid w:val="00E9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943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43CF"/>
    <w:rPr>
      <w:rFonts w:ascii="Times New Roman" w:eastAsia="Times New Roman" w:hAnsi="Times New Roman" w:cs="Times New Roman"/>
      <w:b/>
      <w:bCs/>
      <w:sz w:val="24"/>
      <w:szCs w:val="24"/>
    </w:rPr>
  </w:style>
  <w:style w:type="paragraph" w:styleId="NormalWeb">
    <w:name w:val="Normal (Web)"/>
    <w:basedOn w:val="Normal"/>
    <w:uiPriority w:val="99"/>
    <w:unhideWhenUsed/>
    <w:rsid w:val="00E94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E943CF"/>
  </w:style>
  <w:style w:type="character" w:customStyle="1" w:styleId="1i027erz">
    <w:name w:val="_1i027erz"/>
    <w:basedOn w:val="DefaultParagraphFont"/>
    <w:rsid w:val="00E94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943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43CF"/>
    <w:rPr>
      <w:rFonts w:ascii="Times New Roman" w:eastAsia="Times New Roman" w:hAnsi="Times New Roman" w:cs="Times New Roman"/>
      <w:b/>
      <w:bCs/>
      <w:sz w:val="24"/>
      <w:szCs w:val="24"/>
    </w:rPr>
  </w:style>
  <w:style w:type="paragraph" w:styleId="NormalWeb">
    <w:name w:val="Normal (Web)"/>
    <w:basedOn w:val="Normal"/>
    <w:uiPriority w:val="99"/>
    <w:unhideWhenUsed/>
    <w:rsid w:val="00E94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E943CF"/>
  </w:style>
  <w:style w:type="character" w:customStyle="1" w:styleId="1i027erz">
    <w:name w:val="_1i027erz"/>
    <w:basedOn w:val="DefaultParagraphFont"/>
    <w:rsid w:val="00E9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76984">
      <w:bodyDiv w:val="1"/>
      <w:marLeft w:val="0"/>
      <w:marRight w:val="0"/>
      <w:marTop w:val="0"/>
      <w:marBottom w:val="0"/>
      <w:divBdr>
        <w:top w:val="none" w:sz="0" w:space="0" w:color="auto"/>
        <w:left w:val="none" w:sz="0" w:space="0" w:color="auto"/>
        <w:bottom w:val="none" w:sz="0" w:space="0" w:color="auto"/>
        <w:right w:val="none" w:sz="0" w:space="0" w:color="auto"/>
      </w:divBdr>
      <w:divsChild>
        <w:div w:id="849637307">
          <w:marLeft w:val="0"/>
          <w:marRight w:val="0"/>
          <w:marTop w:val="0"/>
          <w:marBottom w:val="0"/>
          <w:divBdr>
            <w:top w:val="none" w:sz="0" w:space="0" w:color="auto"/>
            <w:left w:val="none" w:sz="0" w:space="0" w:color="auto"/>
            <w:bottom w:val="none" w:sz="0" w:space="0" w:color="auto"/>
            <w:right w:val="none" w:sz="0" w:space="0" w:color="auto"/>
          </w:divBdr>
          <w:divsChild>
            <w:div w:id="15511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0588">
      <w:bodyDiv w:val="1"/>
      <w:marLeft w:val="0"/>
      <w:marRight w:val="0"/>
      <w:marTop w:val="0"/>
      <w:marBottom w:val="0"/>
      <w:divBdr>
        <w:top w:val="none" w:sz="0" w:space="0" w:color="auto"/>
        <w:left w:val="none" w:sz="0" w:space="0" w:color="auto"/>
        <w:bottom w:val="none" w:sz="0" w:space="0" w:color="auto"/>
        <w:right w:val="none" w:sz="0" w:space="0" w:color="auto"/>
      </w:divBdr>
      <w:divsChild>
        <w:div w:id="1608847492">
          <w:marLeft w:val="0"/>
          <w:marRight w:val="0"/>
          <w:marTop w:val="0"/>
          <w:marBottom w:val="0"/>
          <w:divBdr>
            <w:top w:val="none" w:sz="0" w:space="0" w:color="auto"/>
            <w:left w:val="none" w:sz="0" w:space="0" w:color="auto"/>
            <w:bottom w:val="none" w:sz="0" w:space="0" w:color="auto"/>
            <w:right w:val="none" w:sz="0" w:space="0" w:color="auto"/>
          </w:divBdr>
        </w:div>
      </w:divsChild>
    </w:div>
    <w:div w:id="693575320">
      <w:bodyDiv w:val="1"/>
      <w:marLeft w:val="0"/>
      <w:marRight w:val="0"/>
      <w:marTop w:val="0"/>
      <w:marBottom w:val="0"/>
      <w:divBdr>
        <w:top w:val="none" w:sz="0" w:space="0" w:color="auto"/>
        <w:left w:val="none" w:sz="0" w:space="0" w:color="auto"/>
        <w:bottom w:val="none" w:sz="0" w:space="0" w:color="auto"/>
        <w:right w:val="none" w:sz="0" w:space="0" w:color="auto"/>
      </w:divBdr>
      <w:divsChild>
        <w:div w:id="1919170385">
          <w:marLeft w:val="0"/>
          <w:marRight w:val="0"/>
          <w:marTop w:val="0"/>
          <w:marBottom w:val="0"/>
          <w:divBdr>
            <w:top w:val="none" w:sz="0" w:space="0" w:color="auto"/>
            <w:left w:val="none" w:sz="0" w:space="0" w:color="auto"/>
            <w:bottom w:val="none" w:sz="0" w:space="0" w:color="auto"/>
            <w:right w:val="none" w:sz="0" w:space="0" w:color="auto"/>
          </w:divBdr>
          <w:divsChild>
            <w:div w:id="71975894">
              <w:marLeft w:val="0"/>
              <w:marRight w:val="0"/>
              <w:marTop w:val="0"/>
              <w:marBottom w:val="240"/>
              <w:divBdr>
                <w:top w:val="none" w:sz="0" w:space="0" w:color="auto"/>
                <w:left w:val="none" w:sz="0" w:space="0" w:color="auto"/>
                <w:bottom w:val="none" w:sz="0" w:space="0" w:color="auto"/>
                <w:right w:val="none" w:sz="0" w:space="0" w:color="auto"/>
              </w:divBdr>
            </w:div>
            <w:div w:id="1846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2021-04-14T21:52:00Z</dcterms:created>
  <dcterms:modified xsi:type="dcterms:W3CDTF">2021-04-14T21:53:00Z</dcterms:modified>
</cp:coreProperties>
</file>